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B612CE">
        <w:rPr>
          <w:rFonts w:ascii="Times New Roman" w:hAnsi="Times New Roman" w:cs="Times New Roman"/>
          <w:b/>
          <w:i/>
          <w:color w:val="FF0000"/>
          <w:sz w:val="28"/>
          <w:szCs w:val="24"/>
        </w:rPr>
        <w:t>Источники зажигания: горючая среда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B612CE" w:rsidRPr="00B612CE" w:rsidRDefault="00B612CE" w:rsidP="00B612CE">
      <w:pPr>
        <w:pStyle w:val="a3"/>
        <w:spacing w:after="240"/>
        <w:ind w:firstLine="800"/>
        <w:jc w:val="both"/>
        <w:rPr>
          <w:sz w:val="28"/>
          <w:szCs w:val="28"/>
        </w:rPr>
      </w:pPr>
      <w:r w:rsidRPr="00B612CE">
        <w:rPr>
          <w:sz w:val="28"/>
          <w:szCs w:val="28"/>
        </w:rPr>
        <w:t>Горючая среда – это все то, что может воспламениться при воздействии источника зажигания, другими словами, она может представлять собой любую внешнюю среду, воспламеняющуюся при соприкосновении с тем или иным источником зажигания, при этом обладает способностью самостоятельного горения даже после ликвидации этого источника.</w:t>
      </w:r>
    </w:p>
    <w:p w:rsidR="00B612CE" w:rsidRPr="00B612CE" w:rsidRDefault="00B612CE" w:rsidP="00B612CE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2B46"/>
    <w:rsid w:val="007E3C07"/>
    <w:rsid w:val="007F51D3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56</cp:revision>
  <cp:lastPrinted>2022-08-29T04:39:00Z</cp:lastPrinted>
  <dcterms:created xsi:type="dcterms:W3CDTF">2015-11-23T12:43:00Z</dcterms:created>
  <dcterms:modified xsi:type="dcterms:W3CDTF">2022-09-01T09:40:00Z</dcterms:modified>
</cp:coreProperties>
</file>