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6D41B0">
        <w:rPr>
          <w:rFonts w:ascii="Times New Roman" w:hAnsi="Times New Roman"/>
          <w:i/>
          <w:color w:val="FF0000"/>
          <w:szCs w:val="24"/>
        </w:rPr>
        <w:t>Основы безопасности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BF08E1" w:rsidRPr="00527CBA" w:rsidRDefault="0047677A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F08E1">
        <w:rPr>
          <w:sz w:val="28"/>
          <w:szCs w:val="28"/>
        </w:rPr>
        <w:t xml:space="preserve">        </w:t>
      </w:r>
      <w:r w:rsidR="006D41B0" w:rsidRPr="00527CBA">
        <w:rPr>
          <w:sz w:val="28"/>
          <w:szCs w:val="28"/>
        </w:rPr>
        <w:t>Пожарная безопасность – это состояние защищенности личности, имущества, объектов народного хозяйства, других объектов государства и общества, объектов природы от пожаров.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rStyle w:val="a3"/>
          <w:color w:val="auto"/>
          <w:sz w:val="28"/>
          <w:szCs w:val="28"/>
        </w:rPr>
        <w:t xml:space="preserve">       </w:t>
      </w:r>
      <w:r w:rsidRPr="00527CBA">
        <w:rPr>
          <w:rStyle w:val="a9"/>
          <w:b w:val="0"/>
          <w:sz w:val="28"/>
          <w:szCs w:val="28"/>
        </w:rPr>
        <w:t>Пожарная безопасность</w:t>
      </w:r>
      <w:r w:rsidRPr="00527CBA">
        <w:rPr>
          <w:b/>
          <w:sz w:val="28"/>
          <w:szCs w:val="28"/>
        </w:rPr>
        <w:t> -</w:t>
      </w:r>
      <w:r w:rsidRPr="00527CBA">
        <w:rPr>
          <w:sz w:val="28"/>
          <w:szCs w:val="28"/>
        </w:rPr>
        <w:t xml:space="preserve"> это состояние объекта, при котором исключается возможность пожара, а в случае его возникновения предотвращается воздействие на людей опасных факторов пожара и обеспечивается защита материальных ценностей.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При обеспечении пожарной безопасности решаются 4 задачи: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предотвращение пожаров и загораний;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локализация возникших пожаров;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защита людей и материальных ценностей;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тушение пожаров.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Пожарная безопасность обеспечивается предотвращением пожаров и пожарной защитой.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 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rStyle w:val="a9"/>
          <w:sz w:val="28"/>
          <w:szCs w:val="28"/>
        </w:rPr>
        <w:t>ПРЕДОТВРАЩЕНИЕ ПОЖАРА</w:t>
      </w:r>
      <w:r w:rsidRPr="00527CBA">
        <w:rPr>
          <w:sz w:val="28"/>
          <w:szCs w:val="28"/>
        </w:rPr>
        <w:t> - достигается исключением образования горючей среды и источников зажигания, а также поддержанием параметров среды в пределах, исключающих горение.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rStyle w:val="a9"/>
          <w:sz w:val="28"/>
          <w:szCs w:val="28"/>
        </w:rPr>
        <w:t>ПОЖАРНАЯ ЗАЩИТА -</w:t>
      </w:r>
      <w:r w:rsidRPr="00527CBA">
        <w:rPr>
          <w:sz w:val="28"/>
          <w:szCs w:val="28"/>
        </w:rPr>
        <w:t> реализуется следующими мероприятиями: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 xml:space="preserve">- применением негорючих и </w:t>
      </w:r>
      <w:proofErr w:type="spellStart"/>
      <w:r w:rsidRPr="00527CBA">
        <w:rPr>
          <w:sz w:val="28"/>
          <w:szCs w:val="28"/>
        </w:rPr>
        <w:t>трудногорючих</w:t>
      </w:r>
      <w:proofErr w:type="spellEnd"/>
      <w:r w:rsidRPr="00527CBA">
        <w:rPr>
          <w:sz w:val="28"/>
          <w:szCs w:val="28"/>
        </w:rPr>
        <w:t xml:space="preserve"> веществ и материалов;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ограничением количества горючих веществ;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применением средств пожаротушения;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>- созданием условий для эвакуации людей;</w:t>
      </w:r>
    </w:p>
    <w:p w:rsidR="00BF08E1" w:rsidRPr="00527CBA" w:rsidRDefault="00BF08E1" w:rsidP="00BF08E1">
      <w:pPr>
        <w:pStyle w:val="a7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527CBA">
        <w:rPr>
          <w:sz w:val="28"/>
          <w:szCs w:val="28"/>
        </w:rPr>
        <w:t xml:space="preserve">- применением </w:t>
      </w:r>
      <w:proofErr w:type="spellStart"/>
      <w:r w:rsidRPr="00527CBA">
        <w:rPr>
          <w:sz w:val="28"/>
          <w:szCs w:val="28"/>
        </w:rPr>
        <w:t>противодымной</w:t>
      </w:r>
      <w:proofErr w:type="spellEnd"/>
      <w:r w:rsidRPr="00527CBA">
        <w:rPr>
          <w:sz w:val="28"/>
          <w:szCs w:val="28"/>
        </w:rPr>
        <w:t xml:space="preserve"> защиты, пожарной сигнализации.</w:t>
      </w:r>
    </w:p>
    <w:p w:rsidR="00BF08E1" w:rsidRDefault="00BF08E1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BF08E1" w:rsidRDefault="00BF08E1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1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6"/>
  </w:num>
  <w:num w:numId="3">
    <w:abstractNumId w:val="30"/>
  </w:num>
  <w:num w:numId="4">
    <w:abstractNumId w:val="3"/>
  </w:num>
  <w:num w:numId="5">
    <w:abstractNumId w:val="1"/>
  </w:num>
  <w:num w:numId="6">
    <w:abstractNumId w:val="16"/>
  </w:num>
  <w:num w:numId="7">
    <w:abstractNumId w:val="20"/>
  </w:num>
  <w:num w:numId="8">
    <w:abstractNumId w:val="13"/>
  </w:num>
  <w:num w:numId="9">
    <w:abstractNumId w:val="34"/>
  </w:num>
  <w:num w:numId="10">
    <w:abstractNumId w:val="23"/>
  </w:num>
  <w:num w:numId="11">
    <w:abstractNumId w:val="26"/>
  </w:num>
  <w:num w:numId="12">
    <w:abstractNumId w:val="25"/>
  </w:num>
  <w:num w:numId="13">
    <w:abstractNumId w:val="9"/>
  </w:num>
  <w:num w:numId="14">
    <w:abstractNumId w:val="29"/>
  </w:num>
  <w:num w:numId="15">
    <w:abstractNumId w:val="4"/>
  </w:num>
  <w:num w:numId="16">
    <w:abstractNumId w:val="18"/>
  </w:num>
  <w:num w:numId="17">
    <w:abstractNumId w:val="7"/>
  </w:num>
  <w:num w:numId="18">
    <w:abstractNumId w:val="24"/>
  </w:num>
  <w:num w:numId="19">
    <w:abstractNumId w:val="10"/>
  </w:num>
  <w:num w:numId="20">
    <w:abstractNumId w:val="0"/>
  </w:num>
  <w:num w:numId="21">
    <w:abstractNumId w:val="28"/>
  </w:num>
  <w:num w:numId="22">
    <w:abstractNumId w:val="32"/>
  </w:num>
  <w:num w:numId="23">
    <w:abstractNumId w:val="22"/>
  </w:num>
  <w:num w:numId="24">
    <w:abstractNumId w:val="27"/>
  </w:num>
  <w:num w:numId="25">
    <w:abstractNumId w:val="19"/>
  </w:num>
  <w:num w:numId="26">
    <w:abstractNumId w:val="2"/>
  </w:num>
  <w:num w:numId="27">
    <w:abstractNumId w:val="8"/>
  </w:num>
  <w:num w:numId="28">
    <w:abstractNumId w:val="17"/>
  </w:num>
  <w:num w:numId="29">
    <w:abstractNumId w:val="5"/>
  </w:num>
  <w:num w:numId="30">
    <w:abstractNumId w:val="11"/>
  </w:num>
  <w:num w:numId="31">
    <w:abstractNumId w:val="33"/>
  </w:num>
  <w:num w:numId="32">
    <w:abstractNumId w:val="35"/>
  </w:num>
  <w:num w:numId="33">
    <w:abstractNumId w:val="15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41B0"/>
    <w:rsid w:val="006E5829"/>
    <w:rsid w:val="00747F82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1619A"/>
    <w:rsid w:val="00933E96"/>
    <w:rsid w:val="0094202B"/>
    <w:rsid w:val="009426B2"/>
    <w:rsid w:val="00991D88"/>
    <w:rsid w:val="00997CF4"/>
    <w:rsid w:val="009A7CD1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21584"/>
    <w:rsid w:val="00B43695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88D9-B8D2-4FF3-8424-E5F5CFC5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44</cp:revision>
  <cp:lastPrinted>2022-12-19T10:17:00Z</cp:lastPrinted>
  <dcterms:created xsi:type="dcterms:W3CDTF">2014-04-30T06:33:00Z</dcterms:created>
  <dcterms:modified xsi:type="dcterms:W3CDTF">2023-01-25T11:46:00Z</dcterms:modified>
</cp:coreProperties>
</file>