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417852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Требования к путям эвакуации и выходам </w:t>
      </w:r>
    </w:p>
    <w:p w:rsidR="00417852" w:rsidRPr="00417852" w:rsidRDefault="00417852" w:rsidP="00417852"/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bCs/>
          <w:szCs w:val="28"/>
        </w:rPr>
      </w:pPr>
      <w:r>
        <w:rPr>
          <w:rFonts w:ascii="Arial" w:eastAsiaTheme="minorEastAsia" w:hAnsi="Arial" w:cs="Arial"/>
          <w:color w:val="3B4256"/>
          <w:sz w:val="22"/>
          <w:szCs w:val="22"/>
          <w:shd w:val="clear" w:color="auto" w:fill="FFFFFF"/>
        </w:rPr>
        <w:t xml:space="preserve">         </w:t>
      </w:r>
      <w:r w:rsidR="00BC1D16">
        <w:rPr>
          <w:sz w:val="28"/>
          <w:szCs w:val="28"/>
          <w:shd w:val="clear" w:color="auto" w:fill="FFFFFF"/>
        </w:rPr>
        <w:t xml:space="preserve">  </w:t>
      </w:r>
      <w:r w:rsidRPr="00417852">
        <w:rPr>
          <w:szCs w:val="28"/>
        </w:rPr>
        <w:t>При эксплуатации эвакуационных  путей  и  выходов   на объекте должны соблюдаться  проектные  решения  и   требования нормативных  документов  по  пожарной  безопасности  (в  том     числе по освещенности,  количеству,  размерам  и  объемно-планировочным   решениям эвакуационных путей и выходов, а также по  наличию  на  путях   эвакуации</w:t>
      </w:r>
      <w:r>
        <w:rPr>
          <w:szCs w:val="28"/>
        </w:rPr>
        <w:t xml:space="preserve"> </w:t>
      </w:r>
      <w:r w:rsidRPr="00417852">
        <w:rPr>
          <w:szCs w:val="28"/>
        </w:rPr>
        <w:t xml:space="preserve">знаков пожарной безопасности).   Двери на путях  эвакуации  открываются  наружу  по   направлению выхода из здания, за исключением дверей, направление открывания   которых не  нормируется  требованиями  нормативных   документов   по     пожарной безопасности или к которым предъявляются особые требования.  Запоры на  дверях  эвакуационных  выходов  должны   обеспечивать возможность их свободного открывания изнутри без ключа. </w:t>
      </w:r>
      <w:proofErr w:type="gramStart"/>
      <w:r w:rsidRPr="00417852">
        <w:rPr>
          <w:szCs w:val="28"/>
        </w:rPr>
        <w:t>Случае</w:t>
      </w:r>
      <w:proofErr w:type="gramEnd"/>
      <w:r w:rsidRPr="00417852">
        <w:rPr>
          <w:szCs w:val="28"/>
        </w:rPr>
        <w:t xml:space="preserve"> возникновения пожара на  объекте  должен быть обеспечен доступ пожарным подразделениям в закрытые  помещения   для целей локализации и тушения пожара.  </w:t>
      </w:r>
      <w:r w:rsidRPr="00417852">
        <w:rPr>
          <w:bCs/>
          <w:szCs w:val="28"/>
        </w:rPr>
        <w:t>При эксплуатации эвакуационных путей, эвакуационных и аварийных</w:t>
      </w:r>
      <w:r w:rsidRPr="00417852">
        <w:rPr>
          <w:szCs w:val="28"/>
        </w:rPr>
        <w:t xml:space="preserve"> </w:t>
      </w:r>
      <w:r w:rsidRPr="00417852">
        <w:rPr>
          <w:bCs/>
          <w:szCs w:val="28"/>
        </w:rPr>
        <w:t>выходов запрещается: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7852">
        <w:rPr>
          <w:szCs w:val="28"/>
        </w:rPr>
        <w:t>- устраивать пороги на путях  эвакуации  (за  исключением   порогов в дверных проемах),</w:t>
      </w:r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7852">
        <w:rPr>
          <w:szCs w:val="28"/>
        </w:rPr>
        <w:t xml:space="preserve"> </w:t>
      </w:r>
      <w:r>
        <w:rPr>
          <w:szCs w:val="28"/>
        </w:rPr>
        <w:t xml:space="preserve"> </w:t>
      </w:r>
      <w:r w:rsidRPr="00417852">
        <w:rPr>
          <w:szCs w:val="28"/>
        </w:rPr>
        <w:t>раздвижные  и  подъемно-опускные  двери  и   ворота, вращающиеся двери и турникеты,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 w:rsidRPr="00417852">
        <w:rPr>
          <w:szCs w:val="28"/>
        </w:rPr>
        <w:t xml:space="preserve"> а также другие устройства, препятствующие свободной эвакуации людей;</w:t>
      </w:r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 w:rsidRPr="00417852">
        <w:rPr>
          <w:szCs w:val="28"/>
        </w:rPr>
        <w:t xml:space="preserve">- загромождать эвакуационные пути и выходы (в том  числе   проходы, коридоры, </w:t>
      </w:r>
      <w:proofErr w:type="gramEnd"/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 xml:space="preserve">тамбуры, галереи, лифтовые холлы, лестничные  площадки,   марши лестниц, двери, </w:t>
      </w:r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 xml:space="preserve">эвакуационные люки) различными  материалами,   изделиями, оборудованием, </w:t>
      </w:r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 xml:space="preserve">производственными отходами, мусором и другими предметами, а также блокировать 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>двери эвакуационных выходов;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proofErr w:type="gramStart"/>
      <w:r w:rsidRPr="00417852">
        <w:rPr>
          <w:szCs w:val="28"/>
        </w:rPr>
        <w:t>- устраивать  в  тамбурах  выходов  (за  исключением      квартир и</w:t>
      </w:r>
      <w:proofErr w:type="gramEnd"/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>индивидуальных жилых домов) сушилки и вешалки для одежды,  гардеробы,   а также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 w:rsidRPr="00417852">
        <w:rPr>
          <w:szCs w:val="28"/>
        </w:rPr>
        <w:t xml:space="preserve"> хранить (в том числе временно) инвентарь и материалы;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7852">
        <w:rPr>
          <w:szCs w:val="28"/>
        </w:rPr>
        <w:t>- фиксировать самозакрывающиеся двери лестничных клеток, коридоров,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Pr="00417852">
        <w:rPr>
          <w:szCs w:val="28"/>
        </w:rPr>
        <w:t>холлов  и  тамбуров  в  открытом  положении  (если  для  этих   целей  не</w:t>
      </w:r>
      <w:proofErr w:type="gramEnd"/>
    </w:p>
    <w:p w:rsid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>используются устройства, автоматически срабатывающие при пожаре), а также снимать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>их;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7852">
        <w:rPr>
          <w:szCs w:val="28"/>
        </w:rPr>
        <w:t xml:space="preserve">- закрывать  жалюзи  или  остеклять  переходы  воздушных    зон   </w:t>
      </w:r>
      <w:proofErr w:type="gramStart"/>
      <w:r w:rsidRPr="00417852">
        <w:rPr>
          <w:szCs w:val="28"/>
        </w:rPr>
        <w:t>в</w:t>
      </w:r>
      <w:proofErr w:type="gramEnd"/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 xml:space="preserve">незадымляемых лестничных </w:t>
      </w:r>
      <w:proofErr w:type="gramStart"/>
      <w:r w:rsidRPr="00417852">
        <w:rPr>
          <w:szCs w:val="28"/>
        </w:rPr>
        <w:t>клетках</w:t>
      </w:r>
      <w:proofErr w:type="gramEnd"/>
      <w:r w:rsidRPr="00417852">
        <w:rPr>
          <w:szCs w:val="28"/>
        </w:rPr>
        <w:t>;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7852">
        <w:rPr>
          <w:szCs w:val="28"/>
        </w:rPr>
        <w:t>- заменять армированное  стекло  обычным  в  остеклении    дверей и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</w:t>
      </w:r>
      <w:r w:rsidRPr="00417852">
        <w:rPr>
          <w:szCs w:val="28"/>
        </w:rPr>
        <w:t xml:space="preserve">фрамуг.  </w:t>
      </w:r>
    </w:p>
    <w:p w:rsidR="00417852" w:rsidRPr="00417852" w:rsidRDefault="0041785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17852">
        <w:rPr>
          <w:szCs w:val="28"/>
        </w:rPr>
        <w:t xml:space="preserve"> </w:t>
      </w:r>
    </w:p>
    <w:p w:rsidR="00417852" w:rsidRPr="00417852" w:rsidRDefault="00417852" w:rsidP="00417852">
      <w:pPr>
        <w:pStyle w:val="paragraph"/>
        <w:shd w:val="clear" w:color="auto" w:fill="FFFFFF"/>
        <w:spacing w:before="0"/>
        <w:jc w:val="both"/>
        <w:rPr>
          <w:sz w:val="28"/>
          <w:szCs w:val="28"/>
        </w:rPr>
      </w:pPr>
    </w:p>
    <w:p w:rsidR="00165E30" w:rsidRPr="00F51C48" w:rsidRDefault="009426B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6EE"/>
    <w:multiLevelType w:val="multilevel"/>
    <w:tmpl w:val="08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11251C"/>
    <w:rsid w:val="00165E30"/>
    <w:rsid w:val="001E0BF6"/>
    <w:rsid w:val="00286D87"/>
    <w:rsid w:val="002B1AA2"/>
    <w:rsid w:val="002C0C21"/>
    <w:rsid w:val="002F70A2"/>
    <w:rsid w:val="003C725A"/>
    <w:rsid w:val="0041785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57CD5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C004F3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paragraph" w:customStyle="1" w:styleId="paragraph">
    <w:name w:val="paragraph"/>
    <w:basedOn w:val="a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62A-57C3-4B05-8ED4-2964C48F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22</cp:revision>
  <cp:lastPrinted>2022-08-29T08:33:00Z</cp:lastPrinted>
  <dcterms:created xsi:type="dcterms:W3CDTF">2014-04-30T06:33:00Z</dcterms:created>
  <dcterms:modified xsi:type="dcterms:W3CDTF">2022-08-29T09:13:00Z</dcterms:modified>
</cp:coreProperties>
</file>