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03E7F">
        <w:rPr>
          <w:rFonts w:ascii="Times New Roman" w:hAnsi="Times New Roman" w:cs="Times New Roman"/>
          <w:b/>
          <w:i/>
          <w:color w:val="FF0000"/>
          <w:sz w:val="28"/>
          <w:szCs w:val="24"/>
        </w:rPr>
        <w:t>Вызов пожарных при возгорании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E03E7F" w:rsidRDefault="00E03E7F" w:rsidP="00E03E7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П</w:t>
      </w:r>
      <w:r w:rsidRPr="00E03E7F">
        <w:rPr>
          <w:rFonts w:eastAsiaTheme="minorEastAsia"/>
          <w:sz w:val="28"/>
          <w:szCs w:val="22"/>
        </w:rPr>
        <w:t>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E03E7F" w:rsidRPr="00E03E7F" w:rsidRDefault="00E03E7F" w:rsidP="00E03E7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E03E7F">
        <w:rPr>
          <w:rFonts w:eastAsiaTheme="minorEastAsia"/>
          <w:sz w:val="28"/>
          <w:szCs w:val="22"/>
        </w:rPr>
        <w:t>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A95A5E" w:rsidRDefault="00E03E7F" w:rsidP="00E03E7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E03E7F">
        <w:rPr>
          <w:rFonts w:eastAsiaTheme="minorEastAsia"/>
          <w:sz w:val="28"/>
          <w:szCs w:val="22"/>
        </w:rPr>
        <w:t>принять посильные меры по эвакуации людей и тушению пожара.</w:t>
      </w:r>
      <w:bookmarkStart w:id="0" w:name="_GoBack"/>
      <w:bookmarkEnd w:id="0"/>
    </w:p>
    <w:p w:rsidR="00E03E7F" w:rsidRDefault="00E03E7F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03E7F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237E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100</cp:revision>
  <cp:lastPrinted>2024-02-20T10:15:00Z</cp:lastPrinted>
  <dcterms:created xsi:type="dcterms:W3CDTF">2015-11-23T12:43:00Z</dcterms:created>
  <dcterms:modified xsi:type="dcterms:W3CDTF">2024-04-24T04:16:00Z</dcterms:modified>
</cp:coreProperties>
</file>